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9CB" w:rsidRPr="006259CB" w:rsidRDefault="006259CB" w:rsidP="00CE03CA">
      <w:pPr>
        <w:spacing w:before="300" w:after="300" w:line="240" w:lineRule="auto"/>
        <w:jc w:val="both"/>
        <w:outlineLvl w:val="1"/>
        <w:rPr>
          <w:rFonts w:ascii="Arial" w:eastAsia="Times New Roman" w:hAnsi="Arial" w:cs="Arial"/>
          <w:b/>
          <w:bCs/>
          <w:color w:val="163E86"/>
          <w:sz w:val="48"/>
          <w:szCs w:val="48"/>
          <w:lang w:eastAsia="tr-TR"/>
        </w:rPr>
      </w:pPr>
      <w:r w:rsidRPr="006259CB">
        <w:rPr>
          <w:rFonts w:ascii="Arial" w:eastAsia="Times New Roman" w:hAnsi="Arial" w:cs="Arial"/>
          <w:b/>
          <w:bCs/>
          <w:color w:val="163E86"/>
          <w:sz w:val="48"/>
          <w:szCs w:val="48"/>
          <w:lang w:eastAsia="tr-TR"/>
        </w:rPr>
        <w:t>İş Sağlığı ve Güvenliği</w:t>
      </w:r>
    </w:p>
    <w:p w:rsidR="006259CB" w:rsidRPr="006259CB" w:rsidRDefault="006259CB" w:rsidP="00CE03CA">
      <w:pPr>
        <w:spacing w:after="0" w:line="240" w:lineRule="auto"/>
        <w:jc w:val="both"/>
        <w:rPr>
          <w:rFonts w:ascii="Times New Roman" w:eastAsia="Times New Roman" w:hAnsi="Times New Roman" w:cs="Times New Roman"/>
          <w:sz w:val="24"/>
          <w:szCs w:val="24"/>
          <w:lang w:eastAsia="tr-TR"/>
        </w:rPr>
      </w:pPr>
      <w:r w:rsidRPr="006259CB">
        <w:rPr>
          <w:rFonts w:ascii="Arial" w:eastAsia="Times New Roman" w:hAnsi="Arial" w:cs="Arial"/>
          <w:color w:val="373737"/>
          <w:sz w:val="18"/>
          <w:szCs w:val="18"/>
          <w:lang w:eastAsia="tr-TR"/>
        </w:rPr>
        <w:br/>
      </w:r>
      <w:hyperlink r:id="rId4" w:tgtFrame="_blank" w:history="1">
        <w:r w:rsidRPr="006259CB">
          <w:rPr>
            <w:rFonts w:ascii="Arial" w:eastAsia="Times New Roman" w:hAnsi="Arial" w:cs="Arial"/>
            <w:noProof/>
            <w:color w:val="163E86"/>
            <w:sz w:val="21"/>
            <w:szCs w:val="21"/>
            <w:bdr w:val="none" w:sz="0" w:space="0" w:color="auto" w:frame="1"/>
            <w:lang w:eastAsia="tr-TR"/>
          </w:rPr>
          <w:drawing>
            <wp:inline distT="0" distB="0" distL="0" distR="0">
              <wp:extent cx="209550" cy="228600"/>
              <wp:effectExtent l="0" t="0" r="0" b="0"/>
              <wp:docPr id="1" name="Resim 1" descr="http://www.doganholding.com.tr/_images/pdf_icon2.pn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ganholding.com.tr/_images/pdf_icon2.pn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6259CB">
          <w:rPr>
            <w:rFonts w:ascii="Arial" w:eastAsia="Times New Roman" w:hAnsi="Arial" w:cs="Arial"/>
            <w:color w:val="163E86"/>
            <w:sz w:val="21"/>
            <w:szCs w:val="21"/>
            <w:u w:val="single"/>
            <w:bdr w:val="none" w:sz="0" w:space="0" w:color="auto" w:frame="1"/>
            <w:lang w:eastAsia="tr-TR"/>
          </w:rPr>
          <w:t>İş Sağlığı ve Güvenliği Politikası için tıklayın.</w:t>
        </w:r>
      </w:hyperlink>
    </w:p>
    <w:p w:rsidR="006259CB" w:rsidRPr="006259CB" w:rsidRDefault="006259CB" w:rsidP="00CE03CA">
      <w:pPr>
        <w:spacing w:after="0" w:line="240" w:lineRule="auto"/>
        <w:jc w:val="both"/>
        <w:rPr>
          <w:rFonts w:ascii="Times New Roman" w:eastAsia="Times New Roman" w:hAnsi="Times New Roman" w:cs="Times New Roman"/>
          <w:sz w:val="24"/>
          <w:szCs w:val="24"/>
          <w:lang w:eastAsia="tr-TR"/>
        </w:rPr>
      </w:pPr>
      <w:r w:rsidRPr="006259CB">
        <w:rPr>
          <w:rFonts w:ascii="Arial" w:eastAsia="Times New Roman" w:hAnsi="Arial" w:cs="Arial"/>
          <w:color w:val="373737"/>
          <w:sz w:val="18"/>
          <w:szCs w:val="18"/>
          <w:lang w:eastAsia="tr-TR"/>
        </w:rPr>
        <w:br/>
        <w:t xml:space="preserve">İş Sağlığı ve Güvenliği konularını düzenleyen 6331 sayılı kanun ve buna bağlı olarak yayınlanan yönetmelikler, Doğan </w:t>
      </w:r>
      <w:proofErr w:type="spellStart"/>
      <w:r w:rsidRPr="006259CB">
        <w:rPr>
          <w:rFonts w:ascii="Arial" w:eastAsia="Times New Roman" w:hAnsi="Arial" w:cs="Arial"/>
          <w:color w:val="373737"/>
          <w:sz w:val="18"/>
          <w:szCs w:val="18"/>
          <w:lang w:eastAsia="tr-TR"/>
        </w:rPr>
        <w:t>Holing</w:t>
      </w:r>
      <w:proofErr w:type="spellEnd"/>
      <w:r w:rsidRPr="006259CB">
        <w:rPr>
          <w:rFonts w:ascii="Arial" w:eastAsia="Times New Roman" w:hAnsi="Arial" w:cs="Arial"/>
          <w:color w:val="373737"/>
          <w:sz w:val="18"/>
          <w:szCs w:val="18"/>
          <w:lang w:eastAsia="tr-TR"/>
        </w:rPr>
        <w:t xml:space="preserve"> bünyesindeki İş Sağlığı ve Güvenliği çalışmalarının temelini oluşturmaktadır. Yıl içinde bu mevzuatta yapılan değişiklikler Holding’in ilgili bölümleri tarafından yakından izlenmiş ve uyum için gerekli olan düzenlemeler hızla gerçekleştirilmiştir. </w:t>
      </w:r>
      <w:r w:rsidRPr="006259CB">
        <w:rPr>
          <w:rFonts w:ascii="Arial" w:eastAsia="Times New Roman" w:hAnsi="Arial" w:cs="Arial"/>
          <w:color w:val="373737"/>
          <w:sz w:val="18"/>
          <w:szCs w:val="18"/>
          <w:lang w:eastAsia="tr-TR"/>
        </w:rPr>
        <w:br/>
      </w:r>
      <w:r w:rsidRPr="006259CB">
        <w:rPr>
          <w:rFonts w:ascii="Arial" w:eastAsia="Times New Roman" w:hAnsi="Arial" w:cs="Arial"/>
          <w:color w:val="373737"/>
          <w:sz w:val="18"/>
          <w:szCs w:val="18"/>
          <w:lang w:eastAsia="tr-TR"/>
        </w:rPr>
        <w:br/>
      </w:r>
      <w:proofErr w:type="gramStart"/>
      <w:r w:rsidRPr="006259CB">
        <w:rPr>
          <w:rFonts w:ascii="Arial" w:eastAsia="Times New Roman" w:hAnsi="Arial" w:cs="Arial"/>
          <w:color w:val="373737"/>
          <w:sz w:val="18"/>
          <w:szCs w:val="18"/>
          <w:lang w:eastAsia="tr-TR"/>
        </w:rPr>
        <w:t>Geçtiğimiz yıl içinde yayınlanan ve gruba bağlı tüm şirketlerin iş sağlığı ve güvenliği konusundaki mevzuata, ILO kurallarına, insan haklarına ve Doğan Grubu İş Sağlığı ve Güvenliği Politikası ile belirlenmiş kurallara uygun çalışılabilmesi için gerekli olan, iç yönetmelik niteliğindeki İş Sağlığı ve Güvenliği Prosedürleri iş sağlığı ve güvenliği alanında faaliyet gösteren ekibe rehberlik etmiştir.</w:t>
      </w:r>
      <w:proofErr w:type="gramEnd"/>
    </w:p>
    <w:p w:rsidR="006259CB" w:rsidRPr="006259CB" w:rsidRDefault="006259CB" w:rsidP="00CE03CA">
      <w:pPr>
        <w:spacing w:before="100" w:beforeAutospacing="1" w:after="100" w:afterAutospacing="1" w:line="240" w:lineRule="auto"/>
        <w:jc w:val="both"/>
        <w:rPr>
          <w:rFonts w:ascii="Arial" w:eastAsia="Times New Roman" w:hAnsi="Arial" w:cs="Arial"/>
          <w:color w:val="373737"/>
          <w:sz w:val="18"/>
          <w:szCs w:val="18"/>
          <w:lang w:eastAsia="tr-TR"/>
        </w:rPr>
      </w:pPr>
      <w:proofErr w:type="gramStart"/>
      <w:r w:rsidRPr="006259CB">
        <w:rPr>
          <w:rFonts w:ascii="Arial" w:eastAsia="Times New Roman" w:hAnsi="Arial" w:cs="Arial"/>
          <w:b/>
          <w:bCs/>
          <w:color w:val="373737"/>
          <w:sz w:val="18"/>
          <w:szCs w:val="18"/>
          <w:lang w:eastAsia="tr-TR"/>
        </w:rPr>
        <w:t>İş Sağlığı ve Güvenliği Üst Kurulu:</w:t>
      </w:r>
      <w:r w:rsidRPr="006259CB">
        <w:rPr>
          <w:rFonts w:ascii="Arial" w:eastAsia="Times New Roman" w:hAnsi="Arial" w:cs="Arial"/>
          <w:color w:val="373737"/>
          <w:sz w:val="18"/>
          <w:szCs w:val="18"/>
          <w:lang w:eastAsia="tr-TR"/>
        </w:rPr>
        <w:t xml:space="preserve"> Doğan Grubu kapsamındaki tüm şirketlerin, iş sağlığı ve güvenliği mevzuatı ile Doğan Grubu İş Sağlığı ve Güvenliği Politikası ve iç yönetmelik niteliğindeki İş Sağlığı ve Güvenliği </w:t>
      </w:r>
      <w:proofErr w:type="spellStart"/>
      <w:r w:rsidRPr="006259CB">
        <w:rPr>
          <w:rFonts w:ascii="Arial" w:eastAsia="Times New Roman" w:hAnsi="Arial" w:cs="Arial"/>
          <w:color w:val="373737"/>
          <w:sz w:val="18"/>
          <w:szCs w:val="18"/>
          <w:lang w:eastAsia="tr-TR"/>
        </w:rPr>
        <w:t>Prosedürü’ne</w:t>
      </w:r>
      <w:proofErr w:type="spellEnd"/>
      <w:r w:rsidRPr="006259CB">
        <w:rPr>
          <w:rFonts w:ascii="Arial" w:eastAsia="Times New Roman" w:hAnsi="Arial" w:cs="Arial"/>
          <w:color w:val="373737"/>
          <w:sz w:val="18"/>
          <w:szCs w:val="18"/>
          <w:lang w:eastAsia="tr-TR"/>
        </w:rPr>
        <w:t xml:space="preserve"> uygun çalıştıklarının gözlemlenmesi ve aksaklıkların ilgili mercilere rapor edilmesi amacıyla oluşturulmuş Doğan Grubu İş Sağlığı ve Güvenliği Üst Kurulu, yıl boyu</w:t>
      </w:r>
      <w:bookmarkStart w:id="0" w:name="_GoBack"/>
      <w:bookmarkEnd w:id="0"/>
      <w:r w:rsidRPr="006259CB">
        <w:rPr>
          <w:rFonts w:ascii="Arial" w:eastAsia="Times New Roman" w:hAnsi="Arial" w:cs="Arial"/>
          <w:color w:val="373737"/>
          <w:sz w:val="18"/>
          <w:szCs w:val="18"/>
          <w:lang w:eastAsia="tr-TR"/>
        </w:rPr>
        <w:t>nca gözlemleme faaliyetini başarıyla sürdürmüştür.</w:t>
      </w:r>
      <w:proofErr w:type="gramEnd"/>
    </w:p>
    <w:p w:rsidR="006259CB" w:rsidRPr="006259CB" w:rsidRDefault="006259CB" w:rsidP="00CE03CA">
      <w:pPr>
        <w:spacing w:before="100" w:beforeAutospacing="1" w:after="100" w:afterAutospacing="1" w:line="240" w:lineRule="auto"/>
        <w:jc w:val="both"/>
        <w:rPr>
          <w:rFonts w:ascii="Arial" w:eastAsia="Times New Roman" w:hAnsi="Arial" w:cs="Arial"/>
          <w:color w:val="373737"/>
          <w:sz w:val="18"/>
          <w:szCs w:val="18"/>
          <w:lang w:eastAsia="tr-TR"/>
        </w:rPr>
      </w:pPr>
      <w:r w:rsidRPr="006259CB">
        <w:rPr>
          <w:rFonts w:ascii="Arial" w:eastAsia="Times New Roman" w:hAnsi="Arial" w:cs="Arial"/>
          <w:b/>
          <w:bCs/>
          <w:color w:val="373737"/>
          <w:sz w:val="18"/>
          <w:szCs w:val="18"/>
          <w:lang w:eastAsia="tr-TR"/>
        </w:rPr>
        <w:t>İş Sağlığı ve Güvenliği (İSG) Kurulları:</w:t>
      </w:r>
      <w:r w:rsidRPr="006259CB">
        <w:rPr>
          <w:rFonts w:ascii="Arial" w:eastAsia="Times New Roman" w:hAnsi="Arial" w:cs="Arial"/>
          <w:color w:val="373737"/>
          <w:sz w:val="18"/>
          <w:szCs w:val="18"/>
          <w:lang w:eastAsia="tr-TR"/>
        </w:rPr>
        <w:t xml:space="preserve"> Grup şirketlerinin tümünde yasanın öngördüğü işveren temsilcisi, işyeri hekimi, iş güvenliği uzmanı, insan kaynakları görevlisi, çalışan temsilcileri ve gündeme uygun teknik ve idari personel tarafından İş Sağlığı ve Güvenliği Kurulları oluşturulmuştu. Kurullar, 2015 yılında da yasanın öngördüğü sürelerde toplanarak, görev kapsamlarına giren konularda kararlar almışlardır. Kurullar, değişen koşullar nedeniyle işyerlerinde, daha önce yapılmış olan Risk Değerlendirme </w:t>
      </w:r>
      <w:proofErr w:type="spellStart"/>
      <w:r w:rsidRPr="006259CB">
        <w:rPr>
          <w:rFonts w:ascii="Arial" w:eastAsia="Times New Roman" w:hAnsi="Arial" w:cs="Arial"/>
          <w:color w:val="373737"/>
          <w:sz w:val="18"/>
          <w:szCs w:val="18"/>
          <w:lang w:eastAsia="tr-TR"/>
        </w:rPr>
        <w:t>Raporları’nda</w:t>
      </w:r>
      <w:proofErr w:type="spellEnd"/>
      <w:r w:rsidRPr="006259CB">
        <w:rPr>
          <w:rFonts w:ascii="Arial" w:eastAsia="Times New Roman" w:hAnsi="Arial" w:cs="Arial"/>
          <w:color w:val="373737"/>
          <w:sz w:val="18"/>
          <w:szCs w:val="18"/>
          <w:lang w:eastAsia="tr-TR"/>
        </w:rPr>
        <w:t xml:space="preserve"> gerekli hale gelen güncellemelerin yapılmasını sağlamış ve bu raporlarda belirlenmiş olan risklerin giderilmesi için önlemlerin alınmasını sağlamıştır.</w:t>
      </w:r>
    </w:p>
    <w:p w:rsidR="006259CB" w:rsidRPr="006259CB" w:rsidRDefault="006259CB" w:rsidP="00CE03CA">
      <w:pPr>
        <w:spacing w:before="100" w:beforeAutospacing="1" w:after="100" w:afterAutospacing="1" w:line="240" w:lineRule="auto"/>
        <w:jc w:val="both"/>
        <w:rPr>
          <w:rFonts w:ascii="Arial" w:eastAsia="Times New Roman" w:hAnsi="Arial" w:cs="Arial"/>
          <w:color w:val="373737"/>
          <w:sz w:val="18"/>
          <w:szCs w:val="18"/>
          <w:lang w:eastAsia="tr-TR"/>
        </w:rPr>
      </w:pPr>
      <w:r w:rsidRPr="006259CB">
        <w:rPr>
          <w:rFonts w:ascii="Arial" w:eastAsia="Times New Roman" w:hAnsi="Arial" w:cs="Arial"/>
          <w:b/>
          <w:bCs/>
          <w:color w:val="373737"/>
          <w:sz w:val="18"/>
          <w:szCs w:val="18"/>
          <w:lang w:eastAsia="tr-TR"/>
        </w:rPr>
        <w:t>İş yeri hekimi (İH) ve iş güvenliği uzmanları (İGU):</w:t>
      </w:r>
      <w:r w:rsidRPr="006259CB">
        <w:rPr>
          <w:rFonts w:ascii="Arial" w:eastAsia="Times New Roman" w:hAnsi="Arial" w:cs="Arial"/>
          <w:color w:val="373737"/>
          <w:sz w:val="18"/>
          <w:szCs w:val="18"/>
          <w:lang w:eastAsia="tr-TR"/>
        </w:rPr>
        <w:t xml:space="preserve"> Grup şirketlerinin </w:t>
      </w:r>
      <w:proofErr w:type="spellStart"/>
      <w:r w:rsidRPr="006259CB">
        <w:rPr>
          <w:rFonts w:ascii="Arial" w:eastAsia="Times New Roman" w:hAnsi="Arial" w:cs="Arial"/>
          <w:color w:val="373737"/>
          <w:sz w:val="18"/>
          <w:szCs w:val="18"/>
          <w:lang w:eastAsia="tr-TR"/>
        </w:rPr>
        <w:t>lokasyon</w:t>
      </w:r>
      <w:proofErr w:type="spellEnd"/>
      <w:r w:rsidRPr="006259CB">
        <w:rPr>
          <w:rFonts w:ascii="Arial" w:eastAsia="Times New Roman" w:hAnsi="Arial" w:cs="Arial"/>
          <w:color w:val="373737"/>
          <w:sz w:val="18"/>
          <w:szCs w:val="18"/>
          <w:lang w:eastAsia="tr-TR"/>
        </w:rPr>
        <w:t xml:space="preserve"> ve personel sayılarının farklılık göstermesi nedeniyle ve yasanın da olanak sağlamasından yararlanılarak, kaynakların Gruba bağlı şirketler tarafından ortak kullanılması prensibi kabul edilmiştir. Grup şirketlerinin personel sayılarındaki değişiklikler nedeniyle, İH ve İGU sayısında, çalıştıkları </w:t>
      </w:r>
      <w:proofErr w:type="spellStart"/>
      <w:r w:rsidRPr="006259CB">
        <w:rPr>
          <w:rFonts w:ascii="Arial" w:eastAsia="Times New Roman" w:hAnsi="Arial" w:cs="Arial"/>
          <w:color w:val="373737"/>
          <w:sz w:val="18"/>
          <w:szCs w:val="18"/>
          <w:lang w:eastAsia="tr-TR"/>
        </w:rPr>
        <w:t>lokasyonlarda</w:t>
      </w:r>
      <w:proofErr w:type="spellEnd"/>
      <w:r w:rsidRPr="006259CB">
        <w:rPr>
          <w:rFonts w:ascii="Arial" w:eastAsia="Times New Roman" w:hAnsi="Arial" w:cs="Arial"/>
          <w:color w:val="373737"/>
          <w:sz w:val="18"/>
          <w:szCs w:val="18"/>
          <w:lang w:eastAsia="tr-TR"/>
        </w:rPr>
        <w:t xml:space="preserve"> ve sorumluluk kapsamlarında değişiklikler yapılmıştır.</w:t>
      </w:r>
    </w:p>
    <w:p w:rsidR="006259CB" w:rsidRPr="006259CB" w:rsidRDefault="006259CB" w:rsidP="00CE03CA">
      <w:pPr>
        <w:spacing w:before="100" w:beforeAutospacing="1" w:after="100" w:afterAutospacing="1" w:line="240" w:lineRule="auto"/>
        <w:jc w:val="both"/>
        <w:rPr>
          <w:rFonts w:ascii="Arial" w:eastAsia="Times New Roman" w:hAnsi="Arial" w:cs="Arial"/>
          <w:color w:val="373737"/>
          <w:sz w:val="18"/>
          <w:szCs w:val="18"/>
          <w:lang w:eastAsia="tr-TR"/>
        </w:rPr>
      </w:pPr>
      <w:r w:rsidRPr="006259CB">
        <w:rPr>
          <w:rFonts w:ascii="Arial" w:eastAsia="Times New Roman" w:hAnsi="Arial" w:cs="Arial"/>
          <w:b/>
          <w:bCs/>
          <w:color w:val="373737"/>
          <w:sz w:val="18"/>
          <w:szCs w:val="18"/>
          <w:lang w:eastAsia="tr-TR"/>
        </w:rPr>
        <w:t>Acil durum eylem planı:</w:t>
      </w:r>
      <w:r w:rsidRPr="006259CB">
        <w:rPr>
          <w:rFonts w:ascii="Arial" w:eastAsia="Times New Roman" w:hAnsi="Arial" w:cs="Arial"/>
          <w:color w:val="373737"/>
          <w:sz w:val="18"/>
          <w:szCs w:val="18"/>
          <w:lang w:eastAsia="tr-TR"/>
        </w:rPr>
        <w:t> Yangın ve deprem gibi acil olaylarda zararın önlenmesi için gerekli olan acil durum eylem planları hazırlanmış ve kapsama giren tüm personele gerekli teorik ve uygulamalı eğitim verilmiştir. Bu kapsamda, belirli aralıklarla yapılması zorunlu olan tahliye tatbikatlarının bir kısmı yapılmış olup, plana göre öngörülenlerin de belirlenen tarihlerde yapılması planlanmıştır.</w:t>
      </w:r>
    </w:p>
    <w:p w:rsidR="006259CB" w:rsidRPr="006259CB" w:rsidRDefault="006259CB" w:rsidP="00CE03CA">
      <w:pPr>
        <w:spacing w:before="100" w:beforeAutospacing="1" w:after="100" w:afterAutospacing="1" w:line="240" w:lineRule="auto"/>
        <w:jc w:val="both"/>
        <w:rPr>
          <w:rFonts w:ascii="Arial" w:eastAsia="Times New Roman" w:hAnsi="Arial" w:cs="Arial"/>
          <w:color w:val="373737"/>
          <w:sz w:val="18"/>
          <w:szCs w:val="18"/>
          <w:lang w:eastAsia="tr-TR"/>
        </w:rPr>
      </w:pPr>
      <w:r w:rsidRPr="006259CB">
        <w:rPr>
          <w:rFonts w:ascii="Arial" w:eastAsia="Times New Roman" w:hAnsi="Arial" w:cs="Arial"/>
          <w:b/>
          <w:bCs/>
          <w:color w:val="373737"/>
          <w:sz w:val="18"/>
          <w:szCs w:val="18"/>
          <w:lang w:eastAsia="tr-TR"/>
        </w:rPr>
        <w:t>İlk yardım eğitimi:</w:t>
      </w:r>
      <w:r w:rsidRPr="006259CB">
        <w:rPr>
          <w:rFonts w:ascii="Arial" w:eastAsia="Times New Roman" w:hAnsi="Arial" w:cs="Arial"/>
          <w:color w:val="373737"/>
          <w:sz w:val="18"/>
          <w:szCs w:val="18"/>
          <w:lang w:eastAsia="tr-TR"/>
        </w:rPr>
        <w:t> 6331 sayılı yasaya göre, yapılan işin tehlike derecesine bağlı olarak değişen oranlardaki personelin, ilk yardım eğitimi alması ve bunların işyerinde ilkyardım görevlisi olarak tanımlanması gerekmektedir. Bu orana uygun sayıda çalışana, yetkili kuruluşlar tarafından teorik ve uygulamalı eğitim verilmiş ve eğitim alan kişiler sınava girerek sertifikalarını almışlardır. İşten ayrılmalar nedeniyle eksilen görevlilerin sayısı belirlenmiş ve yerlerine yenilerinin eğitim alması sağlanmıştır.</w:t>
      </w:r>
    </w:p>
    <w:p w:rsidR="006259CB" w:rsidRPr="006259CB" w:rsidRDefault="006259CB" w:rsidP="00CE03CA">
      <w:pPr>
        <w:spacing w:before="100" w:beforeAutospacing="1" w:after="100" w:afterAutospacing="1" w:line="240" w:lineRule="auto"/>
        <w:jc w:val="both"/>
        <w:rPr>
          <w:rFonts w:ascii="Arial" w:eastAsia="Times New Roman" w:hAnsi="Arial" w:cs="Arial"/>
          <w:color w:val="373737"/>
          <w:sz w:val="18"/>
          <w:szCs w:val="18"/>
          <w:lang w:eastAsia="tr-TR"/>
        </w:rPr>
      </w:pPr>
      <w:r w:rsidRPr="006259CB">
        <w:rPr>
          <w:rFonts w:ascii="Arial" w:eastAsia="Times New Roman" w:hAnsi="Arial" w:cs="Arial"/>
          <w:b/>
          <w:bCs/>
          <w:color w:val="373737"/>
          <w:sz w:val="18"/>
          <w:szCs w:val="18"/>
          <w:lang w:eastAsia="tr-TR"/>
        </w:rPr>
        <w:t>Eğitim çalışmaları:</w:t>
      </w:r>
      <w:r w:rsidRPr="006259CB">
        <w:rPr>
          <w:rFonts w:ascii="Arial" w:eastAsia="Times New Roman" w:hAnsi="Arial" w:cs="Arial"/>
          <w:color w:val="373737"/>
          <w:sz w:val="18"/>
          <w:szCs w:val="18"/>
          <w:lang w:eastAsia="tr-TR"/>
        </w:rPr>
        <w:t> 6331 sayılı yasa, tüm çalışanlara temel ISG eğitimi verilmesini, ayrıca yaptıkları işin özeliklerine göre de ek eğitimler verilmesini şart koşmaktadır. 2015 yılında işe başlayan tüm personele bu eğitimler verilirken, teknik işlerde çalışacak personelde mesleki eğitim şartı aranmış ve gerekli görülen personele meslek içi eğitimler verilmiştir.</w:t>
      </w:r>
    </w:p>
    <w:p w:rsidR="006259CB" w:rsidRPr="006259CB" w:rsidRDefault="006259CB" w:rsidP="00CE03CA">
      <w:pPr>
        <w:spacing w:before="100" w:beforeAutospacing="1" w:after="100" w:afterAutospacing="1" w:line="240" w:lineRule="auto"/>
        <w:jc w:val="both"/>
        <w:rPr>
          <w:rFonts w:ascii="Arial" w:eastAsia="Times New Roman" w:hAnsi="Arial" w:cs="Arial"/>
          <w:color w:val="373737"/>
          <w:sz w:val="18"/>
          <w:szCs w:val="18"/>
          <w:lang w:eastAsia="tr-TR"/>
        </w:rPr>
      </w:pPr>
      <w:r w:rsidRPr="006259CB">
        <w:rPr>
          <w:rFonts w:ascii="Arial" w:eastAsia="Times New Roman" w:hAnsi="Arial" w:cs="Arial"/>
          <w:b/>
          <w:bCs/>
          <w:color w:val="373737"/>
          <w:sz w:val="18"/>
          <w:szCs w:val="18"/>
          <w:lang w:eastAsia="tr-TR"/>
        </w:rPr>
        <w:t>İH ve İGU Elektronik Kayıt Sistemi:</w:t>
      </w:r>
      <w:r w:rsidRPr="006259CB">
        <w:rPr>
          <w:rFonts w:ascii="Arial" w:eastAsia="Times New Roman" w:hAnsi="Arial" w:cs="Arial"/>
          <w:color w:val="373737"/>
          <w:sz w:val="18"/>
          <w:szCs w:val="18"/>
          <w:lang w:eastAsia="tr-TR"/>
        </w:rPr>
        <w:t> İşe giriş ve periyodik muayenelerin takibinde kolaylık sağlanması amacıyla İH için, kullanıcıların önerileri doğrultusunda hazırlanmış olan elektronik kayıt sistemi, İGU için de geliştirilmişti. Programların ihtiyaçlar doğrultusunda revize edilerek tüm ekibin kolayca kullanacağı ve tüm ihtiyaçların karşılanacağı yapıya getirilmesi çalışmaları sürdürülmüştür.</w:t>
      </w:r>
    </w:p>
    <w:p w:rsidR="006259CB" w:rsidRPr="006259CB" w:rsidRDefault="006259CB" w:rsidP="00CE03CA">
      <w:pPr>
        <w:spacing w:before="100" w:beforeAutospacing="1" w:after="100" w:afterAutospacing="1" w:line="240" w:lineRule="auto"/>
        <w:jc w:val="both"/>
        <w:rPr>
          <w:rFonts w:ascii="Arial" w:eastAsia="Times New Roman" w:hAnsi="Arial" w:cs="Arial"/>
          <w:color w:val="373737"/>
          <w:sz w:val="18"/>
          <w:szCs w:val="18"/>
          <w:lang w:eastAsia="tr-TR"/>
        </w:rPr>
      </w:pPr>
      <w:r w:rsidRPr="006259CB">
        <w:rPr>
          <w:rFonts w:ascii="Arial" w:eastAsia="Times New Roman" w:hAnsi="Arial" w:cs="Arial"/>
          <w:b/>
          <w:bCs/>
          <w:color w:val="373737"/>
          <w:sz w:val="18"/>
          <w:szCs w:val="18"/>
          <w:lang w:eastAsia="tr-TR"/>
        </w:rPr>
        <w:t>İşe giriş ve periyodik sağlık kontrolleri:</w:t>
      </w:r>
      <w:r w:rsidRPr="006259CB">
        <w:rPr>
          <w:rFonts w:ascii="Arial" w:eastAsia="Times New Roman" w:hAnsi="Arial" w:cs="Arial"/>
          <w:color w:val="373737"/>
          <w:sz w:val="18"/>
          <w:szCs w:val="18"/>
          <w:lang w:eastAsia="tr-TR"/>
        </w:rPr>
        <w:t> 2015 yılında da işe yeni başlayan personele çalışacağı işe göre, tahlil, işitme testi, bel röntgeni, göz muayenesi gibi ek tetkikler yaptırılmış, bunların periyodik olarak tekrarlanması sağlanmış ve tüm çalışanlara akciğer röntgeni incelemesi yapılmıştır. İşitme ve görme testleri, yapılması zorunlu personelin dışında isteyen tüm çalışanlara da uygulanmıştır.</w:t>
      </w:r>
    </w:p>
    <w:p w:rsidR="006259CB" w:rsidRPr="006259CB" w:rsidRDefault="006259CB" w:rsidP="00CE03CA">
      <w:pPr>
        <w:spacing w:before="100" w:beforeAutospacing="1" w:after="100" w:afterAutospacing="1" w:line="240" w:lineRule="auto"/>
        <w:jc w:val="both"/>
        <w:rPr>
          <w:rFonts w:ascii="Arial" w:eastAsia="Times New Roman" w:hAnsi="Arial" w:cs="Arial"/>
          <w:color w:val="373737"/>
          <w:sz w:val="18"/>
          <w:szCs w:val="18"/>
          <w:lang w:eastAsia="tr-TR"/>
        </w:rPr>
      </w:pPr>
      <w:r w:rsidRPr="006259CB">
        <w:rPr>
          <w:rFonts w:ascii="Arial" w:eastAsia="Times New Roman" w:hAnsi="Arial" w:cs="Arial"/>
          <w:b/>
          <w:bCs/>
          <w:color w:val="373737"/>
          <w:sz w:val="18"/>
          <w:szCs w:val="18"/>
          <w:lang w:eastAsia="tr-TR"/>
        </w:rPr>
        <w:lastRenderedPageBreak/>
        <w:t xml:space="preserve">Portör taramaları ve </w:t>
      </w:r>
      <w:proofErr w:type="gramStart"/>
      <w:r w:rsidRPr="006259CB">
        <w:rPr>
          <w:rFonts w:ascii="Arial" w:eastAsia="Times New Roman" w:hAnsi="Arial" w:cs="Arial"/>
          <w:b/>
          <w:bCs/>
          <w:color w:val="373737"/>
          <w:sz w:val="18"/>
          <w:szCs w:val="18"/>
          <w:lang w:eastAsia="tr-TR"/>
        </w:rPr>
        <w:t>hijyen</w:t>
      </w:r>
      <w:proofErr w:type="gramEnd"/>
      <w:r w:rsidRPr="006259CB">
        <w:rPr>
          <w:rFonts w:ascii="Arial" w:eastAsia="Times New Roman" w:hAnsi="Arial" w:cs="Arial"/>
          <w:b/>
          <w:bCs/>
          <w:color w:val="373737"/>
          <w:sz w:val="18"/>
          <w:szCs w:val="18"/>
          <w:lang w:eastAsia="tr-TR"/>
        </w:rPr>
        <w:t xml:space="preserve"> kontrolleri:</w:t>
      </w:r>
      <w:r w:rsidRPr="006259CB">
        <w:rPr>
          <w:rFonts w:ascii="Arial" w:eastAsia="Times New Roman" w:hAnsi="Arial" w:cs="Arial"/>
          <w:color w:val="373737"/>
          <w:sz w:val="18"/>
          <w:szCs w:val="18"/>
          <w:lang w:eastAsia="tr-TR"/>
        </w:rPr>
        <w:t xml:space="preserve"> Gıda ile ilgili hizmet veren tüm personelin portör taramaları düzenli olarak yaptırılmaktadır. Ayrıca gıda üretimi ve sunulması ile üretilmiş olan gıda maddelerinin </w:t>
      </w:r>
      <w:proofErr w:type="gramStart"/>
      <w:r w:rsidRPr="006259CB">
        <w:rPr>
          <w:rFonts w:ascii="Arial" w:eastAsia="Times New Roman" w:hAnsi="Arial" w:cs="Arial"/>
          <w:color w:val="373737"/>
          <w:sz w:val="18"/>
          <w:szCs w:val="18"/>
          <w:lang w:eastAsia="tr-TR"/>
        </w:rPr>
        <w:t>hijyen</w:t>
      </w:r>
      <w:proofErr w:type="gramEnd"/>
      <w:r w:rsidRPr="006259CB">
        <w:rPr>
          <w:rFonts w:ascii="Arial" w:eastAsia="Times New Roman" w:hAnsi="Arial" w:cs="Arial"/>
          <w:color w:val="373737"/>
          <w:sz w:val="18"/>
          <w:szCs w:val="18"/>
          <w:lang w:eastAsia="tr-TR"/>
        </w:rPr>
        <w:t xml:space="preserve"> kurallarına uygunluğu, İH tarafından sık sık kontrol edilmiş olup bir çok </w:t>
      </w:r>
      <w:proofErr w:type="spellStart"/>
      <w:r w:rsidRPr="006259CB">
        <w:rPr>
          <w:rFonts w:ascii="Arial" w:eastAsia="Times New Roman" w:hAnsi="Arial" w:cs="Arial"/>
          <w:color w:val="373737"/>
          <w:sz w:val="18"/>
          <w:szCs w:val="18"/>
          <w:lang w:eastAsia="tr-TR"/>
        </w:rPr>
        <w:t>lokasyonda</w:t>
      </w:r>
      <w:proofErr w:type="spellEnd"/>
      <w:r w:rsidRPr="006259CB">
        <w:rPr>
          <w:rFonts w:ascii="Arial" w:eastAsia="Times New Roman" w:hAnsi="Arial" w:cs="Arial"/>
          <w:color w:val="373737"/>
          <w:sz w:val="18"/>
          <w:szCs w:val="18"/>
          <w:lang w:eastAsia="tr-TR"/>
        </w:rPr>
        <w:t>, yetkili firmalar aracılığıyla periyodik denetimler yapılmıştır.</w:t>
      </w:r>
    </w:p>
    <w:p w:rsidR="006259CB" w:rsidRPr="006259CB" w:rsidRDefault="006259CB" w:rsidP="00CE03CA">
      <w:pPr>
        <w:spacing w:before="100" w:beforeAutospacing="1" w:after="100" w:afterAutospacing="1" w:line="240" w:lineRule="auto"/>
        <w:jc w:val="both"/>
        <w:rPr>
          <w:rFonts w:ascii="Arial" w:eastAsia="Times New Roman" w:hAnsi="Arial" w:cs="Arial"/>
          <w:color w:val="373737"/>
          <w:sz w:val="18"/>
          <w:szCs w:val="18"/>
          <w:lang w:eastAsia="tr-TR"/>
        </w:rPr>
      </w:pPr>
      <w:r w:rsidRPr="006259CB">
        <w:rPr>
          <w:rFonts w:ascii="Arial" w:eastAsia="Times New Roman" w:hAnsi="Arial" w:cs="Arial"/>
          <w:b/>
          <w:bCs/>
          <w:color w:val="373737"/>
          <w:sz w:val="18"/>
          <w:szCs w:val="18"/>
          <w:lang w:eastAsia="tr-TR"/>
        </w:rPr>
        <w:t>Ortam ölçümleri:</w:t>
      </w:r>
      <w:r w:rsidRPr="006259CB">
        <w:rPr>
          <w:rFonts w:ascii="Arial" w:eastAsia="Times New Roman" w:hAnsi="Arial" w:cs="Arial"/>
          <w:color w:val="373737"/>
          <w:sz w:val="18"/>
          <w:szCs w:val="18"/>
          <w:lang w:eastAsia="tr-TR"/>
        </w:rPr>
        <w:t> İşyerindeki koşulların sağlığı etkilemesi riskine karşı tüm tesislerdeki ortam ölçümleri periyodik olarak yapılmakta ve uygunsuzluk tespit edilen hallerde gerekli önlemler alınmaktadır. Bu ölçümler arasında yer alan hava kalitesi, toz, kimyasal madde, sıcaklık, aydınlatma ve gürültü düzeyleri ile biyolojik kirleticiler işyerlerinin özelliklerine göre düzenli olarak izlenmekte ve raporlanmaktadır.</w:t>
      </w:r>
    </w:p>
    <w:p w:rsidR="006259CB" w:rsidRPr="006259CB" w:rsidRDefault="006259CB" w:rsidP="00CE03CA">
      <w:pPr>
        <w:spacing w:before="100" w:beforeAutospacing="1" w:after="100" w:afterAutospacing="1" w:line="240" w:lineRule="auto"/>
        <w:jc w:val="both"/>
        <w:rPr>
          <w:rFonts w:ascii="Arial" w:eastAsia="Times New Roman" w:hAnsi="Arial" w:cs="Arial"/>
          <w:color w:val="373737"/>
          <w:sz w:val="18"/>
          <w:szCs w:val="18"/>
          <w:lang w:eastAsia="tr-TR"/>
        </w:rPr>
      </w:pPr>
      <w:r w:rsidRPr="006259CB">
        <w:rPr>
          <w:rFonts w:ascii="Arial" w:eastAsia="Times New Roman" w:hAnsi="Arial" w:cs="Arial"/>
          <w:b/>
          <w:bCs/>
          <w:color w:val="373737"/>
          <w:sz w:val="18"/>
          <w:szCs w:val="18"/>
          <w:lang w:eastAsia="tr-TR"/>
        </w:rPr>
        <w:t>İş makinelerinin kontrolü:</w:t>
      </w:r>
      <w:r w:rsidRPr="006259CB">
        <w:rPr>
          <w:rFonts w:ascii="Arial" w:eastAsia="Times New Roman" w:hAnsi="Arial" w:cs="Arial"/>
          <w:color w:val="373737"/>
          <w:sz w:val="18"/>
          <w:szCs w:val="18"/>
          <w:lang w:eastAsia="tr-TR"/>
        </w:rPr>
        <w:t> İşyerlerinde kullanılan tüm iş makinelerine ait kontrollerin yetkililerce zamanında gerçekleştirilmesi takip edilmektedir.</w:t>
      </w:r>
    </w:p>
    <w:p w:rsidR="006259CB" w:rsidRPr="006259CB" w:rsidRDefault="006259CB" w:rsidP="00CE03CA">
      <w:pPr>
        <w:spacing w:before="100" w:beforeAutospacing="1" w:after="100" w:afterAutospacing="1" w:line="240" w:lineRule="auto"/>
        <w:jc w:val="both"/>
        <w:rPr>
          <w:rFonts w:ascii="Arial" w:eastAsia="Times New Roman" w:hAnsi="Arial" w:cs="Arial"/>
          <w:color w:val="373737"/>
          <w:sz w:val="18"/>
          <w:szCs w:val="18"/>
          <w:lang w:eastAsia="tr-TR"/>
        </w:rPr>
      </w:pPr>
      <w:r w:rsidRPr="006259CB">
        <w:rPr>
          <w:rFonts w:ascii="Arial" w:eastAsia="Times New Roman" w:hAnsi="Arial" w:cs="Arial"/>
          <w:b/>
          <w:bCs/>
          <w:color w:val="373737"/>
          <w:sz w:val="18"/>
          <w:szCs w:val="18"/>
          <w:lang w:eastAsia="tr-TR"/>
        </w:rPr>
        <w:t>Taşeronların izlenmesi:</w:t>
      </w:r>
      <w:r w:rsidRPr="006259CB">
        <w:rPr>
          <w:rFonts w:ascii="Arial" w:eastAsia="Times New Roman" w:hAnsi="Arial" w:cs="Arial"/>
          <w:color w:val="373737"/>
          <w:sz w:val="18"/>
          <w:szCs w:val="18"/>
          <w:lang w:eastAsia="tr-TR"/>
        </w:rPr>
        <w:t> 6331 sayılı yasa, alt işverenlerin İSG kurallarına uygunluğunun takibinde üst işvereni de yükümlü tutmaktadır. Bu nedenle Doğan Grubu’na hizmet veren tüm alt işverenlerin çalışmaları izlenmektedir. Bu amaçla taşeronlarla yapılan sözleşmelere iş sağlığı ve güvenliği hükümleri konulmuş olup, taşeronlar işe başlamadan önce bu yönden denetlenmekte ve kendilerine iş ve işyeri hakkında eğitimler verilmektedir.</w:t>
      </w:r>
    </w:p>
    <w:p w:rsidR="005F7B67" w:rsidRDefault="005F7B67" w:rsidP="00CE03CA">
      <w:pPr>
        <w:jc w:val="both"/>
      </w:pPr>
    </w:p>
    <w:sectPr w:rsidR="005F7B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9BB"/>
    <w:rsid w:val="005F7B67"/>
    <w:rsid w:val="006259CB"/>
    <w:rsid w:val="00C80E54"/>
    <w:rsid w:val="00CE03CA"/>
    <w:rsid w:val="00D149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7120B-63F7-43FD-99BD-649ABE97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259C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259C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259CB"/>
    <w:rPr>
      <w:color w:val="0000FF"/>
      <w:u w:val="single"/>
    </w:rPr>
  </w:style>
  <w:style w:type="character" w:customStyle="1" w:styleId="apple-converted-space">
    <w:name w:val="apple-converted-space"/>
    <w:basedOn w:val="VarsaylanParagrafYazTipi"/>
    <w:rsid w:val="006259CB"/>
  </w:style>
  <w:style w:type="paragraph" w:styleId="NormalWeb">
    <w:name w:val="Normal (Web)"/>
    <w:basedOn w:val="Normal"/>
    <w:uiPriority w:val="99"/>
    <w:semiHidden/>
    <w:unhideWhenUsed/>
    <w:rsid w:val="006259C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30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doganholding.com.tr/_files/pdf/Dogan_Holding_Is_Sagligi_ve_Guvenligi_Politikasi_20151229_0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894</Words>
  <Characters>5099</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 Kara</dc:creator>
  <cp:keywords/>
  <dc:description/>
  <cp:lastModifiedBy>Erdal Kara</cp:lastModifiedBy>
  <cp:revision>3</cp:revision>
  <dcterms:created xsi:type="dcterms:W3CDTF">2017-01-04T14:32:00Z</dcterms:created>
  <dcterms:modified xsi:type="dcterms:W3CDTF">2017-04-14T07:44:00Z</dcterms:modified>
</cp:coreProperties>
</file>